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pStyle w:val="3"/>
        <w:widowControl w:val="0"/>
        <w:spacing w:before="0" w:beforeAutospacing="0" w:after="0" w:afterAutospacing="0" w:line="600" w:lineRule="exact"/>
        <w:jc w:val="center"/>
        <w:rPr>
          <w:rFonts w:ascii="黑体" w:hAnsi="楷体" w:eastAsia="黑体"/>
          <w:sz w:val="36"/>
          <w:szCs w:val="36"/>
        </w:rPr>
      </w:pPr>
      <w:r>
        <w:rPr>
          <w:rFonts w:hint="eastAsia" w:ascii="黑体" w:hAnsi="楷体" w:eastAsia="黑体"/>
          <w:sz w:val="36"/>
          <w:szCs w:val="36"/>
        </w:rPr>
        <w:t>服务机构基本情况表</w:t>
      </w:r>
    </w:p>
    <w:tbl>
      <w:tblPr>
        <w:tblStyle w:val="5"/>
        <w:tblW w:w="90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28"/>
        <w:gridCol w:w="1587"/>
        <w:gridCol w:w="1818"/>
        <w:gridCol w:w="142"/>
        <w:gridCol w:w="1418"/>
        <w:gridCol w:w="283"/>
        <w:gridCol w:w="142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注册地点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机构类别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□管理咨询机构</w:t>
            </w:r>
          </w:p>
          <w:p>
            <w:pPr>
              <w:spacing w:line="24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□信息化服务机构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万元  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从业人数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技术人员/专家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主营业务及经营范围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经营情况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2015年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2014年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营业收入，万元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客户数量，户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湖南地区营业收入，万元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湖南客户数量，户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资质或荣誉</w:t>
            </w:r>
          </w:p>
        </w:tc>
        <w:tc>
          <w:tcPr>
            <w:tcW w:w="4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主要资质或荣誉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颁发机构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颁发时间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4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E-mail或QQ号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269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2016-12-23T01:27:01Z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